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личностной и метапредметной составляющей результатов освоения основной общеобразовательной программы</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832.461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личностной и метапредметной составляющей результатов освоения основной общеобразовательной программы»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«Мониторинг личностной и метапредметной составляющей результатов освоения основной общеобразовательной программы».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личностной и метапредметной составляющей результатов освоения основной общеобразовательной программы»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сопровождение педагогов в процессе проектирования и реализации программ развития универсальных учебных действий, программ воспитания и социализации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методической поддержки педагогов, особенности методического обеспечения образовательного процесса, нормативные требования к нему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разрабатывать и реализовывать образовательные программы направленные на развитие психолого-педагогической компетентности педагогических работников, администрации, родителей (законных предствавителей)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преподавания, организации дискуссий, проведения интерактивных форм занятий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88.3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«Мониторинг личностной и метапредметной составляющей результатов освоения основной общеобразовательной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"Основы психолого-педагогического сопровождения младших школьников"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Теоретические основы обучения и воспитания в начальной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Требования к</w:t>
            </w:r>
          </w:p>
          <w:p>
            <w:pPr>
              <w:jc w:val="left"/>
              <w:spacing w:after="0" w:line="240" w:lineRule="auto"/>
              <w:rPr>
                <w:sz w:val="24"/>
                <w:szCs w:val="24"/>
              </w:rPr>
            </w:pPr>
            <w:r>
              <w:rPr>
                <w:rFonts w:ascii="Times New Roman" w:hAnsi="Times New Roman" w:cs="Times New Roman"/>
                <w:color w:val="#000000"/>
                <w:sz w:val="24"/>
                <w:szCs w:val="24"/>
              </w:rPr>
              <w:t> достижению образовательного</w:t>
            </w:r>
          </w:p>
          <w:p>
            <w:pPr>
              <w:jc w:val="left"/>
              <w:spacing w:after="0" w:line="240" w:lineRule="auto"/>
              <w:rPr>
                <w:sz w:val="24"/>
                <w:szCs w:val="24"/>
              </w:rPr>
            </w:pPr>
            <w:r>
              <w:rPr>
                <w:rFonts w:ascii="Times New Roman" w:hAnsi="Times New Roman" w:cs="Times New Roman"/>
                <w:color w:val="#000000"/>
                <w:sz w:val="24"/>
                <w:szCs w:val="24"/>
              </w:rPr>
              <w:t> результата согласно новым</w:t>
            </w:r>
          </w:p>
          <w:p>
            <w:pPr>
              <w:jc w:val="left"/>
              <w:spacing w:after="0" w:line="240" w:lineRule="auto"/>
              <w:rPr>
                <w:sz w:val="24"/>
                <w:szCs w:val="24"/>
              </w:rPr>
            </w:pPr>
            <w:r>
              <w:rPr>
                <w:rFonts w:ascii="Times New Roman" w:hAnsi="Times New Roman" w:cs="Times New Roman"/>
                <w:color w:val="#000000"/>
                <w:sz w:val="24"/>
                <w:szCs w:val="24"/>
              </w:rPr>
              <w:t> образовательным результатам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Личностные УУД и система их</w:t>
            </w:r>
          </w:p>
          <w:p>
            <w:pPr>
              <w:jc w:val="left"/>
              <w:spacing w:after="0" w:line="240" w:lineRule="auto"/>
              <w:rPr>
                <w:sz w:val="24"/>
                <w:szCs w:val="24"/>
              </w:rPr>
            </w:pPr>
            <w:r>
              <w:rPr>
                <w:rFonts w:ascii="Times New Roman" w:hAnsi="Times New Roman" w:cs="Times New Roman"/>
                <w:color w:val="#000000"/>
                <w:sz w:val="24"/>
                <w:szCs w:val="24"/>
              </w:rPr>
              <w:t> оценки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мониторинга</w:t>
            </w:r>
          </w:p>
          <w:p>
            <w:pPr>
              <w:jc w:val="left"/>
              <w:spacing w:after="0" w:line="240" w:lineRule="auto"/>
              <w:rPr>
                <w:sz w:val="24"/>
                <w:szCs w:val="24"/>
              </w:rPr>
            </w:pPr>
            <w:r>
              <w:rPr>
                <w:rFonts w:ascii="Times New Roman" w:hAnsi="Times New Roman" w:cs="Times New Roman"/>
                <w:color w:val="#000000"/>
                <w:sz w:val="24"/>
                <w:szCs w:val="24"/>
              </w:rPr>
              <w:t> познавательных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мониторинга</w:t>
            </w:r>
          </w:p>
          <w:p>
            <w:pPr>
              <w:jc w:val="left"/>
              <w:spacing w:after="0" w:line="240" w:lineRule="auto"/>
              <w:rPr>
                <w:sz w:val="24"/>
                <w:szCs w:val="24"/>
              </w:rPr>
            </w:pPr>
            <w:r>
              <w:rPr>
                <w:rFonts w:ascii="Times New Roman" w:hAnsi="Times New Roman" w:cs="Times New Roman"/>
                <w:color w:val="#000000"/>
                <w:sz w:val="24"/>
                <w:szCs w:val="24"/>
              </w:rPr>
              <w:t> регулятивных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мониторинга</w:t>
            </w:r>
          </w:p>
          <w:p>
            <w:pPr>
              <w:jc w:val="left"/>
              <w:spacing w:after="0" w:line="240" w:lineRule="auto"/>
              <w:rPr>
                <w:sz w:val="24"/>
                <w:szCs w:val="24"/>
              </w:rPr>
            </w:pPr>
            <w:r>
              <w:rPr>
                <w:rFonts w:ascii="Times New Roman" w:hAnsi="Times New Roman" w:cs="Times New Roman"/>
                <w:color w:val="#000000"/>
                <w:sz w:val="24"/>
                <w:szCs w:val="24"/>
              </w:rPr>
              <w:t> коммуникативных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Мониторинг личностных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Мониторинг регулятивных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Мониторинг познавательных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коммуникативных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предоставления</w:t>
            </w:r>
          </w:p>
          <w:p>
            <w:pPr>
              <w:jc w:val="left"/>
              <w:spacing w:after="0" w:line="240" w:lineRule="auto"/>
              <w:rPr>
                <w:sz w:val="24"/>
                <w:szCs w:val="24"/>
              </w:rPr>
            </w:pPr>
            <w:r>
              <w:rPr>
                <w:rFonts w:ascii="Times New Roman" w:hAnsi="Times New Roman" w:cs="Times New Roman"/>
                <w:color w:val="#000000"/>
                <w:sz w:val="24"/>
                <w:szCs w:val="24"/>
              </w:rPr>
              <w:t> результатов мониторинга</w:t>
            </w:r>
          </w:p>
          <w:p>
            <w:pPr>
              <w:jc w:val="left"/>
              <w:spacing w:after="0" w:line="240" w:lineRule="auto"/>
              <w:rPr>
                <w:sz w:val="24"/>
                <w:szCs w:val="24"/>
              </w:rPr>
            </w:pPr>
            <w:r>
              <w:rPr>
                <w:rFonts w:ascii="Times New Roman" w:hAnsi="Times New Roman" w:cs="Times New Roman"/>
                <w:color w:val="#000000"/>
                <w:sz w:val="24"/>
                <w:szCs w:val="24"/>
              </w:rPr>
              <w:t> участникам УВП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Требования к</w:t>
            </w:r>
          </w:p>
          <w:p>
            <w:pPr>
              <w:jc w:val="center"/>
              <w:spacing w:after="0" w:line="240" w:lineRule="auto"/>
              <w:rPr>
                <w:sz w:val="24"/>
                <w:szCs w:val="24"/>
              </w:rPr>
            </w:pPr>
            <w:r>
              <w:rPr>
                <w:rFonts w:ascii="Times New Roman" w:hAnsi="Times New Roman" w:cs="Times New Roman"/>
                <w:b/>
                <w:color w:val="#000000"/>
                <w:sz w:val="24"/>
                <w:szCs w:val="24"/>
              </w:rPr>
              <w:t> достижению образовательного</w:t>
            </w:r>
          </w:p>
          <w:p>
            <w:pPr>
              <w:jc w:val="center"/>
              <w:spacing w:after="0" w:line="240" w:lineRule="auto"/>
              <w:rPr>
                <w:sz w:val="24"/>
                <w:szCs w:val="24"/>
              </w:rPr>
            </w:pPr>
            <w:r>
              <w:rPr>
                <w:rFonts w:ascii="Times New Roman" w:hAnsi="Times New Roman" w:cs="Times New Roman"/>
                <w:b/>
                <w:color w:val="#000000"/>
                <w:sz w:val="24"/>
                <w:szCs w:val="24"/>
              </w:rPr>
              <w:t> результата согласно новым</w:t>
            </w:r>
          </w:p>
          <w:p>
            <w:pPr>
              <w:jc w:val="center"/>
              <w:spacing w:after="0" w:line="240" w:lineRule="auto"/>
              <w:rPr>
                <w:sz w:val="24"/>
                <w:szCs w:val="24"/>
              </w:rPr>
            </w:pPr>
            <w:r>
              <w:rPr>
                <w:rFonts w:ascii="Times New Roman" w:hAnsi="Times New Roman" w:cs="Times New Roman"/>
                <w:b/>
                <w:color w:val="#000000"/>
                <w:sz w:val="24"/>
                <w:szCs w:val="24"/>
              </w:rPr>
              <w:t> образовательным результатам</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Личностные УУД и система их</w:t>
            </w:r>
          </w:p>
          <w:p>
            <w:pPr>
              <w:jc w:val="center"/>
              <w:spacing w:after="0" w:line="240" w:lineRule="auto"/>
              <w:rPr>
                <w:sz w:val="24"/>
                <w:szCs w:val="24"/>
              </w:rPr>
            </w:pPr>
            <w:r>
              <w:rPr>
                <w:rFonts w:ascii="Times New Roman" w:hAnsi="Times New Roman" w:cs="Times New Roman"/>
                <w:b/>
                <w:color w:val="#000000"/>
                <w:sz w:val="24"/>
                <w:szCs w:val="24"/>
              </w:rPr>
              <w:t> оценки в начальной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мониторинга</w:t>
            </w:r>
          </w:p>
          <w:p>
            <w:pPr>
              <w:jc w:val="center"/>
              <w:spacing w:after="0" w:line="240" w:lineRule="auto"/>
              <w:rPr>
                <w:sz w:val="24"/>
                <w:szCs w:val="24"/>
              </w:rPr>
            </w:pPr>
            <w:r>
              <w:rPr>
                <w:rFonts w:ascii="Times New Roman" w:hAnsi="Times New Roman" w:cs="Times New Roman"/>
                <w:b/>
                <w:color w:val="#000000"/>
                <w:sz w:val="24"/>
                <w:szCs w:val="24"/>
              </w:rPr>
              <w:t> познавательных УУД</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мониторинга</w:t>
            </w:r>
          </w:p>
          <w:p>
            <w:pPr>
              <w:jc w:val="center"/>
              <w:spacing w:after="0" w:line="240" w:lineRule="auto"/>
              <w:rPr>
                <w:sz w:val="24"/>
                <w:szCs w:val="24"/>
              </w:rPr>
            </w:pPr>
            <w:r>
              <w:rPr>
                <w:rFonts w:ascii="Times New Roman" w:hAnsi="Times New Roman" w:cs="Times New Roman"/>
                <w:b/>
                <w:color w:val="#000000"/>
                <w:sz w:val="24"/>
                <w:szCs w:val="24"/>
              </w:rPr>
              <w:t> регулятивных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мониторинга</w:t>
            </w:r>
          </w:p>
          <w:p>
            <w:pPr>
              <w:jc w:val="center"/>
              <w:spacing w:after="0" w:line="240" w:lineRule="auto"/>
              <w:rPr>
                <w:sz w:val="24"/>
                <w:szCs w:val="24"/>
              </w:rPr>
            </w:pPr>
            <w:r>
              <w:rPr>
                <w:rFonts w:ascii="Times New Roman" w:hAnsi="Times New Roman" w:cs="Times New Roman"/>
                <w:b/>
                <w:color w:val="#000000"/>
                <w:sz w:val="24"/>
                <w:szCs w:val="24"/>
              </w:rPr>
              <w:t> коммуникативных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Мониторинг личностных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Мониторинг регулятивных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Мониторинг познавательных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Мониторинг коммуникативных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предоставления</w:t>
            </w:r>
          </w:p>
          <w:p>
            <w:pPr>
              <w:jc w:val="center"/>
              <w:spacing w:after="0" w:line="240" w:lineRule="auto"/>
              <w:rPr>
                <w:sz w:val="24"/>
                <w:szCs w:val="24"/>
              </w:rPr>
            </w:pPr>
            <w:r>
              <w:rPr>
                <w:rFonts w:ascii="Times New Roman" w:hAnsi="Times New Roman" w:cs="Times New Roman"/>
                <w:b/>
                <w:color w:val="#000000"/>
                <w:sz w:val="24"/>
                <w:szCs w:val="24"/>
              </w:rPr>
              <w:t> результатов мониторинга</w:t>
            </w:r>
          </w:p>
          <w:p>
            <w:pPr>
              <w:jc w:val="center"/>
              <w:spacing w:after="0" w:line="240" w:lineRule="auto"/>
              <w:rPr>
                <w:sz w:val="24"/>
                <w:szCs w:val="24"/>
              </w:rPr>
            </w:pPr>
            <w:r>
              <w:rPr>
                <w:rFonts w:ascii="Times New Roman" w:hAnsi="Times New Roman" w:cs="Times New Roman"/>
                <w:b/>
                <w:color w:val="#000000"/>
                <w:sz w:val="24"/>
                <w:szCs w:val="24"/>
              </w:rPr>
              <w:t> участникам УВП</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личностной и метапредметной составляющей результатов освоения основной общеобразовательной программы»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https://urait.ru/bcode/491036</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43.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94.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2024-2025_ФГОС3++2024_Маг-ОФО-ПО(НО)(24)_plx_Мониторинг личностной и метапредметной составляющей результатов освоения основной общеобразовательной программы</dc:title>
  <dc:creator>FastReport.NET</dc:creator>
</cp:coreProperties>
</file>